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B4" w:rsidRPr="00743DB4" w:rsidRDefault="00743DB4" w:rsidP="00743DB4">
      <w:pPr>
        <w:widowControl/>
        <w:shd w:val="clear" w:color="auto" w:fill="FFFFFF"/>
        <w:spacing w:line="600" w:lineRule="atLeast"/>
        <w:ind w:firstLine="360"/>
        <w:jc w:val="center"/>
        <w:rPr>
          <w:rFonts w:ascii="Arial" w:eastAsia="宋体" w:hAnsi="Arial" w:cs="Arial"/>
          <w:color w:val="000000"/>
          <w:kern w:val="0"/>
          <w:szCs w:val="21"/>
        </w:rPr>
      </w:pPr>
      <w:r w:rsidRPr="00743DB4">
        <w:rPr>
          <w:rFonts w:ascii="方正小标宋简体" w:eastAsia="方正小标宋简体" w:hAnsi="Arial" w:cs="Arial" w:hint="eastAsia"/>
          <w:color w:val="000000"/>
          <w:kern w:val="0"/>
          <w:sz w:val="44"/>
          <w:szCs w:val="44"/>
        </w:rPr>
        <w:t>研究生学业奖助学金评审管理办法(试行)</w:t>
      </w:r>
    </w:p>
    <w:p w:rsidR="00743DB4" w:rsidRPr="00743DB4" w:rsidRDefault="00743DB4" w:rsidP="00743DB4">
      <w:pPr>
        <w:widowControl/>
        <w:shd w:val="clear" w:color="auto" w:fill="FFFFFF"/>
        <w:spacing w:line="500" w:lineRule="atLeast"/>
        <w:ind w:firstLine="360"/>
        <w:jc w:val="center"/>
        <w:rPr>
          <w:rFonts w:ascii="Arial" w:eastAsia="宋体" w:hAnsi="Arial" w:cs="Arial"/>
          <w:color w:val="000000"/>
          <w:kern w:val="0"/>
          <w:szCs w:val="21"/>
        </w:rPr>
      </w:pPr>
      <w:r w:rsidRPr="00743DB4">
        <w:rPr>
          <w:rFonts w:ascii="宋体" w:eastAsia="宋体" w:hAnsi="宋体" w:cs="宋体" w:hint="eastAsia"/>
          <w:color w:val="000000"/>
          <w:kern w:val="0"/>
          <w:sz w:val="32"/>
          <w:szCs w:val="32"/>
        </w:rPr>
        <w:t> </w:t>
      </w:r>
    </w:p>
    <w:p w:rsidR="00743DB4" w:rsidRPr="00743DB4" w:rsidRDefault="00743DB4" w:rsidP="00743DB4">
      <w:pPr>
        <w:widowControl/>
        <w:shd w:val="clear" w:color="auto" w:fill="FFFFFF"/>
        <w:spacing w:before="156" w:after="156" w:line="315" w:lineRule="atLeast"/>
        <w:ind w:firstLine="360"/>
        <w:jc w:val="center"/>
        <w:rPr>
          <w:rFonts w:ascii="Arial" w:eastAsia="宋体" w:hAnsi="Arial" w:cs="Arial"/>
          <w:color w:val="000000"/>
          <w:kern w:val="0"/>
          <w:szCs w:val="21"/>
        </w:rPr>
      </w:pPr>
      <w:r w:rsidRPr="00743DB4">
        <w:rPr>
          <w:rFonts w:ascii="黑体" w:eastAsia="黑体" w:hAnsi="黑体" w:cs="Arial" w:hint="eastAsia"/>
          <w:color w:val="000000"/>
          <w:kern w:val="0"/>
          <w:sz w:val="32"/>
          <w:szCs w:val="32"/>
        </w:rPr>
        <w:t>第一章</w:t>
      </w:r>
      <w:r w:rsidRPr="00743DB4">
        <w:rPr>
          <w:rFonts w:ascii="宋体" w:eastAsia="宋体" w:hAnsi="宋体" w:cs="宋体" w:hint="eastAsia"/>
          <w:color w:val="000000"/>
          <w:kern w:val="0"/>
          <w:sz w:val="32"/>
          <w:szCs w:val="32"/>
        </w:rPr>
        <w:t> </w:t>
      </w:r>
      <w:r w:rsidRPr="00743DB4">
        <w:rPr>
          <w:rFonts w:ascii="宋体" w:eastAsia="宋体" w:hAnsi="宋体" w:cs="宋体" w:hint="eastAsia"/>
          <w:color w:val="000000"/>
          <w:kern w:val="0"/>
          <w:sz w:val="32"/>
        </w:rPr>
        <w:t> </w:t>
      </w:r>
      <w:r w:rsidRPr="00743DB4">
        <w:rPr>
          <w:rFonts w:ascii="黑体" w:eastAsia="黑体" w:hAnsi="黑体" w:cs="Arial" w:hint="eastAsia"/>
          <w:color w:val="000000"/>
          <w:kern w:val="0"/>
          <w:sz w:val="32"/>
          <w:szCs w:val="32"/>
        </w:rPr>
        <w:t>总</w:t>
      </w:r>
      <w:r w:rsidRPr="00743DB4">
        <w:rPr>
          <w:rFonts w:ascii="宋体" w:eastAsia="宋体" w:hAnsi="宋体" w:cs="宋体" w:hint="eastAsia"/>
          <w:color w:val="000000"/>
          <w:kern w:val="0"/>
          <w:sz w:val="32"/>
          <w:szCs w:val="32"/>
        </w:rPr>
        <w:t> </w:t>
      </w:r>
      <w:r w:rsidRPr="00743DB4">
        <w:rPr>
          <w:rFonts w:ascii="宋体" w:eastAsia="宋体" w:hAnsi="宋体" w:cs="宋体" w:hint="eastAsia"/>
          <w:color w:val="000000"/>
          <w:kern w:val="0"/>
          <w:sz w:val="32"/>
        </w:rPr>
        <w:t> </w:t>
      </w:r>
      <w:r w:rsidRPr="00743DB4">
        <w:rPr>
          <w:rFonts w:ascii="黑体" w:eastAsia="黑体" w:hAnsi="黑体" w:cs="Arial" w:hint="eastAsia"/>
          <w:color w:val="000000"/>
          <w:kern w:val="0"/>
          <w:sz w:val="32"/>
          <w:szCs w:val="32"/>
        </w:rPr>
        <w:t>则</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第一条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为激励研究生潜心学习，创新研究，提高研究生培养质量。根据财政部、教育部《研究生学业奖学金管理暂行办法》（财教[2013]219号）、《四川省省属高校研究生学业奖学金管理暂行办法》（川财教[2014]2号）和《四川农业大学博士研究生管理办法》（川农大校研发[2014]13号）、《四川农业大学全日制硕士研究生管理办法》（川农大校研发[2014]14号）精神，制定本办法。</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第二条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研究生学业奖助学金包括国家学业奖学金和学校奖助学金，奖助对象为通过全国研究生招生计划取得学籍，并实际在校学习且在基本修业年限内（即学制规定的学习年限，下同）经国家核定的非定向全日制研究生（人事档案已转入我校）。</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第三条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硕博连读研究生、直博生，在注册为博士研究生之前按照硕士研究生身份申请学业奖助学金，注册为博士研究生后按照博士研究生身份申请学业奖助学金。</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本硕连读生，取得国家学籍，并注册为硕士研究生之后按照硕士研究生身份申请学业奖助学金。</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办理休学手续的研究生，不参评当年的学业奖助学金，待复学后再参加相应年度的学业奖助学金评选。</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lastRenderedPageBreak/>
        <w:t>第四条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hyperlink r:id="rId6" w:tgtFrame="_blank" w:history="1">
        <w:r w:rsidRPr="00743DB4">
          <w:rPr>
            <w:rFonts w:ascii="仿宋_GB2312" w:eastAsia="仿宋_GB2312" w:hAnsi="Arial" w:cs="Arial" w:hint="eastAsia"/>
            <w:kern w:val="0"/>
            <w:sz w:val="32"/>
          </w:rPr>
          <w:t>研究生学业奖助学金</w:t>
        </w:r>
      </w:hyperlink>
      <w:r w:rsidRPr="00743DB4">
        <w:rPr>
          <w:rFonts w:ascii="仿宋_GB2312" w:eastAsia="仿宋_GB2312" w:hAnsi="Arial" w:cs="Arial" w:hint="eastAsia"/>
          <w:color w:val="000000"/>
          <w:kern w:val="0"/>
          <w:sz w:val="32"/>
          <w:szCs w:val="32"/>
        </w:rPr>
        <w:t>评奖每年进行一次，评奖在每年十月份进行（具体时间另行通知）。获得研究生学业奖助学金资助的研究生，可以同时获得研究生</w:t>
      </w:r>
      <w:hyperlink r:id="rId7" w:tgtFrame="_blank" w:history="1">
        <w:r w:rsidRPr="00743DB4">
          <w:rPr>
            <w:rFonts w:ascii="仿宋_GB2312" w:eastAsia="仿宋_GB2312" w:hAnsi="Arial" w:cs="Arial" w:hint="eastAsia"/>
            <w:kern w:val="0"/>
            <w:sz w:val="32"/>
          </w:rPr>
          <w:t>国家奖学金</w:t>
        </w:r>
      </w:hyperlink>
      <w:r w:rsidRPr="00743DB4">
        <w:rPr>
          <w:rFonts w:ascii="仿宋_GB2312" w:eastAsia="仿宋_GB2312" w:hAnsi="Arial" w:cs="Arial" w:hint="eastAsia"/>
          <w:color w:val="000000"/>
          <w:kern w:val="0"/>
          <w:sz w:val="32"/>
          <w:szCs w:val="32"/>
        </w:rPr>
        <w:t>、研究生</w:t>
      </w:r>
      <w:hyperlink r:id="rId8" w:tgtFrame="_blank" w:history="1">
        <w:r w:rsidRPr="00743DB4">
          <w:rPr>
            <w:rFonts w:ascii="仿宋_GB2312" w:eastAsia="仿宋_GB2312" w:hAnsi="Arial" w:cs="Arial" w:hint="eastAsia"/>
            <w:kern w:val="0"/>
            <w:sz w:val="32"/>
          </w:rPr>
          <w:t>国家助学金</w:t>
        </w:r>
      </w:hyperlink>
      <w:r w:rsidRPr="00743DB4">
        <w:rPr>
          <w:rFonts w:ascii="仿宋_GB2312" w:eastAsia="仿宋_GB2312" w:hAnsi="Arial" w:cs="Arial" w:hint="eastAsia"/>
          <w:color w:val="000000"/>
          <w:kern w:val="0"/>
          <w:sz w:val="32"/>
          <w:szCs w:val="32"/>
        </w:rPr>
        <w:t>等其他研究生国家奖助政策及校内其他研究生奖助政策资助。</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第五条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hyperlink r:id="rId9" w:tgtFrame="_blank" w:history="1">
        <w:r w:rsidRPr="00743DB4">
          <w:rPr>
            <w:rFonts w:ascii="仿宋_GB2312" w:eastAsia="仿宋_GB2312" w:hAnsi="Arial" w:cs="Arial" w:hint="eastAsia"/>
            <w:kern w:val="0"/>
            <w:sz w:val="32"/>
          </w:rPr>
          <w:t>研究生学业奖助学金</w:t>
        </w:r>
      </w:hyperlink>
      <w:r w:rsidRPr="00743DB4">
        <w:rPr>
          <w:rFonts w:ascii="仿宋_GB2312" w:eastAsia="仿宋_GB2312" w:hAnsi="Arial" w:cs="Arial" w:hint="eastAsia"/>
          <w:color w:val="000000"/>
          <w:kern w:val="0"/>
          <w:sz w:val="32"/>
          <w:szCs w:val="32"/>
        </w:rPr>
        <w:t>评审坚持规范管理，按照公开、公平、公正的原则进行评定，杜绝弄虚作假。通过评定确实起到奖优助学、奖优促学，切实提高研究生综合素质和培养质量。</w:t>
      </w:r>
    </w:p>
    <w:p w:rsidR="00743DB4" w:rsidRPr="00743DB4" w:rsidRDefault="00743DB4" w:rsidP="00743DB4">
      <w:pPr>
        <w:widowControl/>
        <w:shd w:val="clear" w:color="auto" w:fill="FFFFFF"/>
        <w:spacing w:before="156" w:after="156" w:line="315" w:lineRule="atLeast"/>
        <w:ind w:firstLine="360"/>
        <w:jc w:val="center"/>
        <w:rPr>
          <w:rFonts w:ascii="Arial" w:eastAsia="宋体" w:hAnsi="Arial" w:cs="Arial"/>
          <w:color w:val="000000"/>
          <w:kern w:val="0"/>
          <w:szCs w:val="21"/>
        </w:rPr>
      </w:pPr>
      <w:r w:rsidRPr="00743DB4">
        <w:rPr>
          <w:rFonts w:ascii="黑体" w:eastAsia="黑体" w:hAnsi="黑体" w:cs="Arial" w:hint="eastAsia"/>
          <w:color w:val="000000"/>
          <w:kern w:val="0"/>
          <w:sz w:val="32"/>
          <w:szCs w:val="32"/>
        </w:rPr>
        <w:t>第二章</w:t>
      </w:r>
      <w:r w:rsidRPr="00743DB4">
        <w:rPr>
          <w:rFonts w:ascii="宋体" w:eastAsia="宋体" w:hAnsi="宋体" w:cs="宋体" w:hint="eastAsia"/>
          <w:color w:val="000000"/>
          <w:kern w:val="0"/>
          <w:sz w:val="32"/>
          <w:szCs w:val="32"/>
        </w:rPr>
        <w:t> </w:t>
      </w:r>
      <w:r w:rsidRPr="00743DB4">
        <w:rPr>
          <w:rFonts w:ascii="宋体" w:eastAsia="宋体" w:hAnsi="宋体" w:cs="宋体" w:hint="eastAsia"/>
          <w:color w:val="000000"/>
          <w:kern w:val="0"/>
          <w:sz w:val="32"/>
        </w:rPr>
        <w:t> </w:t>
      </w:r>
      <w:r w:rsidRPr="00743DB4">
        <w:rPr>
          <w:rFonts w:ascii="黑体" w:eastAsia="黑体" w:hAnsi="黑体" w:cs="Arial" w:hint="eastAsia"/>
          <w:color w:val="000000"/>
          <w:kern w:val="0"/>
          <w:sz w:val="32"/>
          <w:szCs w:val="32"/>
        </w:rPr>
        <w:t>指标分配和奖励标准</w:t>
      </w:r>
    </w:p>
    <w:p w:rsidR="00743DB4" w:rsidRPr="00743DB4" w:rsidRDefault="00743DB4" w:rsidP="00743DB4">
      <w:pPr>
        <w:widowControl/>
        <w:shd w:val="clear" w:color="auto" w:fill="FFFFFF"/>
        <w:spacing w:before="62" w:line="315" w:lineRule="atLeast"/>
        <w:ind w:firstLine="627"/>
        <w:jc w:val="left"/>
        <w:rPr>
          <w:rFonts w:ascii="Arial" w:eastAsia="宋体" w:hAnsi="Arial" w:cs="Arial"/>
          <w:color w:val="000000"/>
          <w:kern w:val="0"/>
          <w:szCs w:val="21"/>
        </w:rPr>
      </w:pPr>
      <w:r w:rsidRPr="00743DB4">
        <w:rPr>
          <w:rFonts w:ascii="仿宋_GB2312" w:eastAsia="仿宋_GB2312" w:hAnsi="Arial" w:cs="Arial" w:hint="eastAsia"/>
          <w:b/>
          <w:bCs/>
          <w:color w:val="000000"/>
          <w:spacing w:val="-4"/>
          <w:kern w:val="0"/>
          <w:sz w:val="32"/>
          <w:szCs w:val="32"/>
        </w:rPr>
        <w:t>第六条</w:t>
      </w:r>
      <w:r w:rsidRPr="00743DB4">
        <w:rPr>
          <w:rFonts w:ascii="仿宋_GB2312" w:eastAsia="仿宋_GB2312" w:hAnsi="Arial" w:cs="Arial" w:hint="eastAsia"/>
          <w:color w:val="000000"/>
          <w:spacing w:val="-4"/>
          <w:kern w:val="0"/>
          <w:sz w:val="32"/>
          <w:szCs w:val="32"/>
        </w:rPr>
        <w:t> </w:t>
      </w:r>
      <w:r w:rsidRPr="00743DB4">
        <w:rPr>
          <w:rFonts w:ascii="仿宋_GB2312" w:eastAsia="仿宋_GB2312" w:hAnsi="Arial" w:cs="Arial" w:hint="eastAsia"/>
          <w:color w:val="000000"/>
          <w:spacing w:val="-4"/>
          <w:kern w:val="0"/>
          <w:sz w:val="32"/>
        </w:rPr>
        <w:t> </w:t>
      </w:r>
      <w:r w:rsidRPr="00743DB4">
        <w:rPr>
          <w:rFonts w:ascii="仿宋_GB2312" w:eastAsia="仿宋_GB2312" w:hAnsi="Arial" w:cs="Arial" w:hint="eastAsia"/>
          <w:color w:val="000000"/>
          <w:spacing w:val="-4"/>
          <w:kern w:val="0"/>
          <w:sz w:val="32"/>
          <w:szCs w:val="32"/>
        </w:rPr>
        <w:t>研究生学业奖助学金指标依据当年参评对象总人数，按年级分博士研究生、学术型学位硕士研究生与专业学位硕士研究生核定，下达各院所。</w:t>
      </w:r>
    </w:p>
    <w:p w:rsidR="00743DB4" w:rsidRPr="00743DB4" w:rsidRDefault="00743DB4" w:rsidP="00743DB4">
      <w:pPr>
        <w:widowControl/>
        <w:shd w:val="clear" w:color="auto" w:fill="FFFFFF"/>
        <w:spacing w:after="156"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第七条</w:t>
      </w:r>
      <w:r w:rsidRPr="00743DB4">
        <w:rPr>
          <w:rFonts w:ascii="仿宋_GB2312" w:eastAsia="仿宋_GB2312" w:hAnsi="Arial" w:cs="Arial" w:hint="eastAsia"/>
          <w:b/>
          <w:bCs/>
          <w:color w:val="000000"/>
          <w:kern w:val="0"/>
          <w:sz w:val="32"/>
          <w:szCs w:val="32"/>
        </w:rPr>
        <w:t> </w:t>
      </w:r>
      <w:r w:rsidRPr="00743DB4">
        <w:rPr>
          <w:rFonts w:ascii="仿宋_GB2312" w:eastAsia="仿宋_GB2312" w:hAnsi="Arial" w:cs="Arial" w:hint="eastAsia"/>
          <w:b/>
          <w:bCs/>
          <w:color w:val="000000"/>
          <w:kern w:val="0"/>
          <w:sz w:val="32"/>
        </w:rPr>
        <w:t> </w:t>
      </w:r>
      <w:r w:rsidRPr="00743DB4">
        <w:rPr>
          <w:rFonts w:ascii="仿宋_GB2312" w:eastAsia="仿宋_GB2312" w:hAnsi="Arial" w:cs="Arial" w:hint="eastAsia"/>
          <w:color w:val="000000"/>
          <w:kern w:val="0"/>
          <w:sz w:val="32"/>
          <w:szCs w:val="32"/>
        </w:rPr>
        <w:t>学业奖助学金分为四等，各等级的奖励标准、学生比例和资金分担详见下表：</w:t>
      </w:r>
    </w:p>
    <w:tbl>
      <w:tblPr>
        <w:tblW w:w="0" w:type="auto"/>
        <w:jc w:val="center"/>
        <w:tblCellMar>
          <w:left w:w="0" w:type="dxa"/>
          <w:right w:w="0" w:type="dxa"/>
        </w:tblCellMar>
        <w:tblLook w:val="04A0"/>
      </w:tblPr>
      <w:tblGrid>
        <w:gridCol w:w="892"/>
        <w:gridCol w:w="1041"/>
        <w:gridCol w:w="1147"/>
        <w:gridCol w:w="1161"/>
        <w:gridCol w:w="1297"/>
        <w:gridCol w:w="1053"/>
        <w:gridCol w:w="952"/>
        <w:gridCol w:w="979"/>
      </w:tblGrid>
      <w:tr w:rsidR="00743DB4" w:rsidRPr="00743DB4" w:rsidTr="00743DB4">
        <w:trPr>
          <w:jc w:val="center"/>
        </w:trPr>
        <w:tc>
          <w:tcPr>
            <w:tcW w:w="100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层次</w:t>
            </w:r>
          </w:p>
        </w:tc>
        <w:tc>
          <w:tcPr>
            <w:tcW w:w="1188" w:type="dxa"/>
            <w:vMerge w:val="restart"/>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奖助</w:t>
            </w:r>
          </w:p>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等次</w:t>
            </w:r>
          </w:p>
        </w:tc>
        <w:tc>
          <w:tcPr>
            <w:tcW w:w="1230" w:type="dxa"/>
            <w:vMerge w:val="restart"/>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占研究生</w:t>
            </w:r>
          </w:p>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比例（%）</w:t>
            </w:r>
          </w:p>
        </w:tc>
        <w:tc>
          <w:tcPr>
            <w:tcW w:w="5799" w:type="dxa"/>
            <w:gridSpan w:val="5"/>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标准（元/人·年）</w:t>
            </w:r>
          </w:p>
        </w:tc>
      </w:tr>
      <w:tr w:rsidR="00743DB4" w:rsidRPr="00743DB4" w:rsidTr="00743DB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43DB4" w:rsidRPr="00743DB4" w:rsidRDefault="00743DB4" w:rsidP="00743DB4">
            <w:pPr>
              <w:widowControl/>
              <w:jc w:val="left"/>
              <w:rPr>
                <w:rFonts w:ascii="Arial" w:eastAsia="宋体" w:hAnsi="Arial" w:cs="Arial"/>
                <w:kern w:val="0"/>
                <w:szCs w:val="21"/>
              </w:rPr>
            </w:pP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743DB4" w:rsidRPr="00743DB4" w:rsidRDefault="00743DB4" w:rsidP="00743DB4">
            <w:pPr>
              <w:widowControl/>
              <w:jc w:val="left"/>
              <w:rPr>
                <w:rFonts w:ascii="Arial" w:eastAsia="宋体" w:hAnsi="Arial" w:cs="Arial"/>
                <w:kern w:val="0"/>
                <w:szCs w:val="21"/>
              </w:rPr>
            </w:pPr>
          </w:p>
        </w:tc>
        <w:tc>
          <w:tcPr>
            <w:tcW w:w="0" w:type="auto"/>
            <w:vMerge/>
            <w:tcBorders>
              <w:top w:val="single" w:sz="8" w:space="0" w:color="000000"/>
              <w:left w:val="outset" w:sz="6" w:space="0" w:color="ECE9D8"/>
              <w:bottom w:val="single" w:sz="8" w:space="0" w:color="000000"/>
              <w:right w:val="single" w:sz="8" w:space="0" w:color="000000"/>
            </w:tcBorders>
            <w:vAlign w:val="center"/>
            <w:hideMark/>
          </w:tcPr>
          <w:p w:rsidR="00743DB4" w:rsidRPr="00743DB4" w:rsidRDefault="00743DB4" w:rsidP="00743DB4">
            <w:pPr>
              <w:widowControl/>
              <w:jc w:val="left"/>
              <w:rPr>
                <w:rFonts w:ascii="Arial" w:eastAsia="宋体" w:hAnsi="Arial" w:cs="Arial"/>
                <w:kern w:val="0"/>
                <w:szCs w:val="21"/>
              </w:rPr>
            </w:pP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国家</w:t>
            </w:r>
          </w:p>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助学金</w:t>
            </w:r>
          </w:p>
        </w:tc>
        <w:tc>
          <w:tcPr>
            <w:tcW w:w="14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学业奖学金国家部分</w:t>
            </w:r>
          </w:p>
        </w:tc>
        <w:tc>
          <w:tcPr>
            <w:tcW w:w="112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学校奖</w:t>
            </w:r>
          </w:p>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助学金</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导师</w:t>
            </w:r>
          </w:p>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助学金</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黑体" w:eastAsia="黑体" w:hAnsi="黑体" w:cs="Arial" w:hint="eastAsia"/>
                <w:kern w:val="0"/>
                <w:sz w:val="24"/>
                <w:szCs w:val="24"/>
              </w:rPr>
              <w:t>合计</w:t>
            </w:r>
          </w:p>
        </w:tc>
      </w:tr>
      <w:tr w:rsidR="00743DB4" w:rsidRPr="00743DB4" w:rsidTr="00743DB4">
        <w:trPr>
          <w:jc w:val="center"/>
        </w:trPr>
        <w:tc>
          <w:tcPr>
            <w:tcW w:w="1002" w:type="dxa"/>
            <w:vMerge w:val="restart"/>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硕士</w:t>
            </w:r>
          </w:p>
        </w:tc>
        <w:tc>
          <w:tcPr>
            <w:tcW w:w="118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一等</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8</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6000</w:t>
            </w:r>
          </w:p>
        </w:tc>
        <w:tc>
          <w:tcPr>
            <w:tcW w:w="14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6000</w:t>
            </w:r>
          </w:p>
        </w:tc>
        <w:tc>
          <w:tcPr>
            <w:tcW w:w="112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4000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2400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18400</w:t>
            </w:r>
          </w:p>
        </w:tc>
      </w:tr>
      <w:tr w:rsidR="00743DB4" w:rsidRPr="00743DB4" w:rsidTr="00743DB4">
        <w:trPr>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743DB4" w:rsidRPr="00743DB4" w:rsidRDefault="00743DB4" w:rsidP="00743DB4">
            <w:pPr>
              <w:widowControl/>
              <w:jc w:val="left"/>
              <w:rPr>
                <w:rFonts w:ascii="Arial" w:eastAsia="宋体" w:hAnsi="Arial" w:cs="Arial"/>
                <w:kern w:val="0"/>
                <w:szCs w:val="21"/>
              </w:rPr>
            </w:pPr>
          </w:p>
        </w:tc>
        <w:tc>
          <w:tcPr>
            <w:tcW w:w="118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二等</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12</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6000</w:t>
            </w:r>
          </w:p>
        </w:tc>
        <w:tc>
          <w:tcPr>
            <w:tcW w:w="14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4800</w:t>
            </w:r>
          </w:p>
        </w:tc>
        <w:tc>
          <w:tcPr>
            <w:tcW w:w="112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3200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2400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16400</w:t>
            </w:r>
          </w:p>
        </w:tc>
      </w:tr>
      <w:tr w:rsidR="00743DB4" w:rsidRPr="00743DB4" w:rsidTr="00743DB4">
        <w:trPr>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743DB4" w:rsidRPr="00743DB4" w:rsidRDefault="00743DB4" w:rsidP="00743DB4">
            <w:pPr>
              <w:widowControl/>
              <w:jc w:val="left"/>
              <w:rPr>
                <w:rFonts w:ascii="Arial" w:eastAsia="宋体" w:hAnsi="Arial" w:cs="Arial"/>
                <w:kern w:val="0"/>
                <w:szCs w:val="21"/>
              </w:rPr>
            </w:pPr>
          </w:p>
        </w:tc>
        <w:tc>
          <w:tcPr>
            <w:tcW w:w="118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三</w:t>
            </w:r>
            <w:r w:rsidRPr="00743DB4">
              <w:rPr>
                <w:rFonts w:ascii="宋体" w:eastAsia="宋体" w:hAnsi="宋体" w:cs="Arial" w:hint="eastAsia"/>
                <w:kern w:val="0"/>
                <w:sz w:val="24"/>
                <w:szCs w:val="24"/>
              </w:rPr>
              <w:lastRenderedPageBreak/>
              <w:t>等</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lastRenderedPageBreak/>
              <w:t>20</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6000</w:t>
            </w:r>
          </w:p>
        </w:tc>
        <w:tc>
          <w:tcPr>
            <w:tcW w:w="14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3600</w:t>
            </w:r>
          </w:p>
        </w:tc>
        <w:tc>
          <w:tcPr>
            <w:tcW w:w="112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240</w:t>
            </w:r>
            <w:r w:rsidRPr="00743DB4">
              <w:rPr>
                <w:rFonts w:ascii="Arial" w:eastAsia="宋体" w:hAnsi="Arial" w:cs="Arial"/>
                <w:kern w:val="0"/>
                <w:sz w:val="24"/>
                <w:szCs w:val="24"/>
              </w:rPr>
              <w:lastRenderedPageBreak/>
              <w:t>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lastRenderedPageBreak/>
              <w:t>24</w:t>
            </w:r>
            <w:r w:rsidRPr="00743DB4">
              <w:rPr>
                <w:rFonts w:ascii="Arial" w:eastAsia="宋体" w:hAnsi="Arial" w:cs="Arial"/>
                <w:kern w:val="0"/>
                <w:sz w:val="24"/>
                <w:szCs w:val="24"/>
              </w:rPr>
              <w:lastRenderedPageBreak/>
              <w:t>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lastRenderedPageBreak/>
              <w:t>144</w:t>
            </w:r>
            <w:r w:rsidRPr="00743DB4">
              <w:rPr>
                <w:rFonts w:ascii="Arial" w:eastAsia="宋体" w:hAnsi="Arial" w:cs="Arial"/>
                <w:kern w:val="0"/>
                <w:sz w:val="24"/>
                <w:szCs w:val="24"/>
              </w:rPr>
              <w:lastRenderedPageBreak/>
              <w:t>00</w:t>
            </w:r>
          </w:p>
        </w:tc>
      </w:tr>
      <w:tr w:rsidR="00743DB4" w:rsidRPr="00743DB4" w:rsidTr="00743DB4">
        <w:trPr>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743DB4" w:rsidRPr="00743DB4" w:rsidRDefault="00743DB4" w:rsidP="00743DB4">
            <w:pPr>
              <w:widowControl/>
              <w:jc w:val="left"/>
              <w:rPr>
                <w:rFonts w:ascii="Arial" w:eastAsia="宋体" w:hAnsi="Arial" w:cs="Arial"/>
                <w:kern w:val="0"/>
                <w:szCs w:val="21"/>
              </w:rPr>
            </w:pPr>
          </w:p>
        </w:tc>
        <w:tc>
          <w:tcPr>
            <w:tcW w:w="118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四等</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60</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375" w:lineRule="atLeast"/>
              <w:ind w:firstLine="360"/>
              <w:jc w:val="center"/>
              <w:rPr>
                <w:rFonts w:ascii="Arial" w:eastAsia="宋体" w:hAnsi="Arial" w:cs="Arial"/>
                <w:kern w:val="0"/>
                <w:szCs w:val="21"/>
              </w:rPr>
            </w:pPr>
            <w:r w:rsidRPr="00743DB4">
              <w:rPr>
                <w:rFonts w:ascii="Arial" w:eastAsia="宋体" w:hAnsi="Arial" w:cs="Arial"/>
                <w:kern w:val="0"/>
                <w:sz w:val="24"/>
                <w:szCs w:val="24"/>
              </w:rPr>
              <w:t>6000</w:t>
            </w:r>
          </w:p>
        </w:tc>
        <w:tc>
          <w:tcPr>
            <w:tcW w:w="14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375" w:lineRule="atLeast"/>
              <w:ind w:firstLine="360"/>
              <w:jc w:val="center"/>
              <w:rPr>
                <w:rFonts w:ascii="Arial" w:eastAsia="宋体" w:hAnsi="Arial" w:cs="Arial"/>
                <w:kern w:val="0"/>
                <w:szCs w:val="21"/>
              </w:rPr>
            </w:pPr>
            <w:r w:rsidRPr="00743DB4">
              <w:rPr>
                <w:rFonts w:ascii="Arial" w:eastAsia="宋体" w:hAnsi="Arial" w:cs="Arial"/>
                <w:kern w:val="0"/>
                <w:sz w:val="24"/>
                <w:szCs w:val="24"/>
              </w:rPr>
              <w:t>/</w:t>
            </w:r>
          </w:p>
        </w:tc>
        <w:tc>
          <w:tcPr>
            <w:tcW w:w="112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2400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2400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10800</w:t>
            </w:r>
          </w:p>
        </w:tc>
      </w:tr>
      <w:tr w:rsidR="00743DB4" w:rsidRPr="00743DB4" w:rsidTr="00743DB4">
        <w:trPr>
          <w:jc w:val="center"/>
        </w:trPr>
        <w:tc>
          <w:tcPr>
            <w:tcW w:w="1002" w:type="dxa"/>
            <w:vMerge w:val="restart"/>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博士</w:t>
            </w:r>
          </w:p>
        </w:tc>
        <w:tc>
          <w:tcPr>
            <w:tcW w:w="118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一等</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14</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10000</w:t>
            </w:r>
          </w:p>
        </w:tc>
        <w:tc>
          <w:tcPr>
            <w:tcW w:w="14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7200</w:t>
            </w:r>
          </w:p>
        </w:tc>
        <w:tc>
          <w:tcPr>
            <w:tcW w:w="112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6000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4800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28000</w:t>
            </w:r>
          </w:p>
        </w:tc>
      </w:tr>
      <w:tr w:rsidR="00743DB4" w:rsidRPr="00743DB4" w:rsidTr="00743DB4">
        <w:trPr>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743DB4" w:rsidRPr="00743DB4" w:rsidRDefault="00743DB4" w:rsidP="00743DB4">
            <w:pPr>
              <w:widowControl/>
              <w:jc w:val="left"/>
              <w:rPr>
                <w:rFonts w:ascii="Arial" w:eastAsia="宋体" w:hAnsi="Arial" w:cs="Arial"/>
                <w:kern w:val="0"/>
                <w:szCs w:val="21"/>
              </w:rPr>
            </w:pPr>
          </w:p>
        </w:tc>
        <w:tc>
          <w:tcPr>
            <w:tcW w:w="118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二等</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21</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10000</w:t>
            </w:r>
          </w:p>
        </w:tc>
        <w:tc>
          <w:tcPr>
            <w:tcW w:w="14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6000</w:t>
            </w:r>
          </w:p>
        </w:tc>
        <w:tc>
          <w:tcPr>
            <w:tcW w:w="112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5000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4800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25800</w:t>
            </w:r>
          </w:p>
        </w:tc>
      </w:tr>
      <w:tr w:rsidR="00743DB4" w:rsidRPr="00743DB4" w:rsidTr="00743DB4">
        <w:trPr>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743DB4" w:rsidRPr="00743DB4" w:rsidRDefault="00743DB4" w:rsidP="00743DB4">
            <w:pPr>
              <w:widowControl/>
              <w:jc w:val="left"/>
              <w:rPr>
                <w:rFonts w:ascii="Arial" w:eastAsia="宋体" w:hAnsi="Arial" w:cs="Arial"/>
                <w:kern w:val="0"/>
                <w:szCs w:val="21"/>
              </w:rPr>
            </w:pPr>
          </w:p>
        </w:tc>
        <w:tc>
          <w:tcPr>
            <w:tcW w:w="118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三等</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35</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10000</w:t>
            </w:r>
          </w:p>
        </w:tc>
        <w:tc>
          <w:tcPr>
            <w:tcW w:w="14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4800</w:t>
            </w:r>
          </w:p>
        </w:tc>
        <w:tc>
          <w:tcPr>
            <w:tcW w:w="112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4000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4800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23600</w:t>
            </w:r>
          </w:p>
        </w:tc>
      </w:tr>
      <w:tr w:rsidR="00743DB4" w:rsidRPr="00743DB4" w:rsidTr="00743DB4">
        <w:trPr>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743DB4" w:rsidRPr="00743DB4" w:rsidRDefault="00743DB4" w:rsidP="00743DB4">
            <w:pPr>
              <w:widowControl/>
              <w:jc w:val="left"/>
              <w:rPr>
                <w:rFonts w:ascii="Arial" w:eastAsia="宋体" w:hAnsi="Arial" w:cs="Arial"/>
                <w:kern w:val="0"/>
                <w:szCs w:val="21"/>
              </w:rPr>
            </w:pPr>
          </w:p>
        </w:tc>
        <w:tc>
          <w:tcPr>
            <w:tcW w:w="118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宋体" w:eastAsia="宋体" w:hAnsi="宋体" w:cs="Arial" w:hint="eastAsia"/>
                <w:kern w:val="0"/>
                <w:sz w:val="24"/>
                <w:szCs w:val="24"/>
              </w:rPr>
              <w:t>四等</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30</w:t>
            </w:r>
          </w:p>
        </w:tc>
        <w:tc>
          <w:tcPr>
            <w:tcW w:w="123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375" w:lineRule="atLeast"/>
              <w:ind w:firstLine="360"/>
              <w:jc w:val="center"/>
              <w:rPr>
                <w:rFonts w:ascii="Arial" w:eastAsia="宋体" w:hAnsi="Arial" w:cs="Arial"/>
                <w:kern w:val="0"/>
                <w:szCs w:val="21"/>
              </w:rPr>
            </w:pPr>
            <w:r w:rsidRPr="00743DB4">
              <w:rPr>
                <w:rFonts w:ascii="Arial" w:eastAsia="宋体" w:hAnsi="Arial" w:cs="Arial"/>
                <w:kern w:val="0"/>
                <w:sz w:val="24"/>
                <w:szCs w:val="24"/>
              </w:rPr>
              <w:t>10000</w:t>
            </w:r>
          </w:p>
        </w:tc>
        <w:tc>
          <w:tcPr>
            <w:tcW w:w="143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43DB4" w:rsidRPr="00743DB4" w:rsidRDefault="00743DB4" w:rsidP="00743DB4">
            <w:pPr>
              <w:widowControl/>
              <w:spacing w:line="375" w:lineRule="atLeast"/>
              <w:ind w:firstLine="360"/>
              <w:jc w:val="center"/>
              <w:rPr>
                <w:rFonts w:ascii="Arial" w:eastAsia="宋体" w:hAnsi="Arial" w:cs="Arial"/>
                <w:kern w:val="0"/>
                <w:szCs w:val="21"/>
              </w:rPr>
            </w:pPr>
            <w:r w:rsidRPr="00743DB4">
              <w:rPr>
                <w:rFonts w:ascii="Arial" w:eastAsia="宋体" w:hAnsi="Arial" w:cs="Arial"/>
                <w:kern w:val="0"/>
                <w:sz w:val="24"/>
                <w:szCs w:val="24"/>
              </w:rPr>
              <w:t>/</w:t>
            </w:r>
          </w:p>
        </w:tc>
        <w:tc>
          <w:tcPr>
            <w:tcW w:w="112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4000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4800</w:t>
            </w:r>
          </w:p>
        </w:tc>
        <w:tc>
          <w:tcPr>
            <w:tcW w:w="100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743DB4" w:rsidRPr="00743DB4" w:rsidRDefault="00743DB4" w:rsidP="00743DB4">
            <w:pPr>
              <w:widowControl/>
              <w:spacing w:line="400" w:lineRule="atLeast"/>
              <w:ind w:firstLine="360"/>
              <w:jc w:val="center"/>
              <w:rPr>
                <w:rFonts w:ascii="Arial" w:eastAsia="宋体" w:hAnsi="Arial" w:cs="Arial"/>
                <w:kern w:val="0"/>
                <w:szCs w:val="21"/>
              </w:rPr>
            </w:pPr>
            <w:r w:rsidRPr="00743DB4">
              <w:rPr>
                <w:rFonts w:ascii="Arial" w:eastAsia="宋体" w:hAnsi="Arial" w:cs="Arial"/>
                <w:kern w:val="0"/>
                <w:sz w:val="24"/>
                <w:szCs w:val="24"/>
              </w:rPr>
              <w:t>18800</w:t>
            </w:r>
          </w:p>
        </w:tc>
      </w:tr>
    </w:tbl>
    <w:p w:rsidR="00743DB4" w:rsidRPr="00743DB4" w:rsidRDefault="00743DB4" w:rsidP="00743DB4">
      <w:pPr>
        <w:widowControl/>
        <w:shd w:val="clear" w:color="auto" w:fill="FFFFFF"/>
        <w:spacing w:before="156" w:after="156" w:line="315" w:lineRule="atLeast"/>
        <w:ind w:firstLine="360"/>
        <w:jc w:val="center"/>
        <w:rPr>
          <w:rFonts w:ascii="Arial" w:eastAsia="宋体" w:hAnsi="Arial" w:cs="Arial"/>
          <w:color w:val="000000"/>
          <w:kern w:val="0"/>
          <w:szCs w:val="21"/>
        </w:rPr>
      </w:pPr>
      <w:r w:rsidRPr="00743DB4">
        <w:rPr>
          <w:rFonts w:ascii="宋体" w:eastAsia="宋体" w:hAnsi="宋体" w:cs="宋体" w:hint="eastAsia"/>
          <w:color w:val="000000"/>
          <w:kern w:val="0"/>
          <w:sz w:val="32"/>
          <w:szCs w:val="32"/>
        </w:rPr>
        <w:t> </w:t>
      </w:r>
    </w:p>
    <w:p w:rsidR="00743DB4" w:rsidRPr="00743DB4" w:rsidRDefault="00743DB4" w:rsidP="00743DB4">
      <w:pPr>
        <w:widowControl/>
        <w:shd w:val="clear" w:color="auto" w:fill="FFFFFF"/>
        <w:spacing w:before="156" w:after="156" w:line="315" w:lineRule="atLeast"/>
        <w:ind w:firstLine="360"/>
        <w:jc w:val="center"/>
        <w:rPr>
          <w:rFonts w:ascii="Arial" w:eastAsia="宋体" w:hAnsi="Arial" w:cs="Arial"/>
          <w:color w:val="000000"/>
          <w:kern w:val="0"/>
          <w:szCs w:val="21"/>
        </w:rPr>
      </w:pPr>
      <w:r w:rsidRPr="00743DB4">
        <w:rPr>
          <w:rFonts w:ascii="黑体" w:eastAsia="黑体" w:hAnsi="黑体" w:cs="Arial" w:hint="eastAsia"/>
          <w:color w:val="000000"/>
          <w:kern w:val="0"/>
          <w:sz w:val="32"/>
          <w:szCs w:val="32"/>
        </w:rPr>
        <w:t>第三章</w:t>
      </w:r>
      <w:r w:rsidRPr="00743DB4">
        <w:rPr>
          <w:rFonts w:ascii="宋体" w:eastAsia="宋体" w:hAnsi="宋体" w:cs="宋体" w:hint="eastAsia"/>
          <w:color w:val="000000"/>
          <w:kern w:val="0"/>
          <w:sz w:val="32"/>
          <w:szCs w:val="32"/>
        </w:rPr>
        <w:t>  </w:t>
      </w:r>
      <w:r w:rsidRPr="00743DB4">
        <w:rPr>
          <w:rFonts w:ascii="宋体" w:eastAsia="宋体" w:hAnsi="宋体" w:cs="宋体" w:hint="eastAsia"/>
          <w:color w:val="000000"/>
          <w:kern w:val="0"/>
          <w:sz w:val="32"/>
        </w:rPr>
        <w:t> </w:t>
      </w:r>
      <w:r w:rsidRPr="00743DB4">
        <w:rPr>
          <w:rFonts w:ascii="黑体" w:eastAsia="黑体" w:hAnsi="黑体" w:cs="Arial" w:hint="eastAsia"/>
          <w:color w:val="000000"/>
          <w:kern w:val="0"/>
          <w:sz w:val="32"/>
          <w:szCs w:val="32"/>
        </w:rPr>
        <w:t>评审要求</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第八条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基本申请条件</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1.热爱祖国，拥护中国共产党的领导；</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2.遵守宪法和法律，遵守学校规章制度，未受通报批评或纪律处分；</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3.诚实守信，道德品质优良；</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4.积极参与科学研究和社会实践；</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5.学习成绩优异，科研成绩显著，发展潜力突出；</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6.按学校规定时间进行学籍注册、缴纳学费。</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第九条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硕士研究生一年级新生学业奖助学金评定因考生类别而不同。参加统一考试的新生，以初试与复试综合成绩排序评定；直博生在硕士第一学年应直接评定为硕士研究生一等学业奖助学金；推荐免试硕士研究生在第一学年原则</w:t>
      </w:r>
      <w:r w:rsidRPr="00743DB4">
        <w:rPr>
          <w:rFonts w:ascii="仿宋_GB2312" w:eastAsia="仿宋_GB2312" w:hAnsi="Arial" w:cs="Arial" w:hint="eastAsia"/>
          <w:color w:val="000000"/>
          <w:kern w:val="0"/>
          <w:sz w:val="32"/>
          <w:szCs w:val="32"/>
        </w:rPr>
        <w:lastRenderedPageBreak/>
        <w:t>上应优先优等评选学业奖助学金，但一二三等名额原则上应不超过所在院所相应等级名额的60%；评审依据为推免综合成绩。</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博士研究生一年级新生根据入学成绩及入学前各类成果进行评定；直博生和硕博连读研究生进入博士阶段的第一学年时，在相近条件下应优先优等评选博士研究生学业奖助学金。</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超出基本修业年限，但未超出最长学习年限的研究生、且继续缴纳学费者（不属于国家核定的学业奖助学金发放对象），可申请获得学校第四等奖助学金。</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第十条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第二学年、第三学年学业奖助学金实施动态管理，评定以</w:t>
      </w:r>
      <w:r w:rsidRPr="00743DB4">
        <w:rPr>
          <w:rFonts w:ascii="Arial" w:eastAsia="宋体" w:hAnsi="Arial" w:cs="Arial"/>
          <w:color w:val="000000"/>
          <w:kern w:val="0"/>
          <w:sz w:val="32"/>
          <w:szCs w:val="32"/>
        </w:rPr>
        <w:t>“</w:t>
      </w:r>
      <w:r w:rsidRPr="00743DB4">
        <w:rPr>
          <w:rFonts w:ascii="仿宋_GB2312" w:eastAsia="仿宋_GB2312" w:hAnsi="Arial" w:cs="Arial" w:hint="eastAsia"/>
          <w:color w:val="000000"/>
          <w:kern w:val="0"/>
          <w:sz w:val="32"/>
          <w:szCs w:val="32"/>
        </w:rPr>
        <w:t>学风道德表现</w:t>
      </w:r>
      <w:r w:rsidRPr="00743DB4">
        <w:rPr>
          <w:rFonts w:ascii="Arial" w:eastAsia="宋体" w:hAnsi="Arial" w:cs="Arial"/>
          <w:color w:val="000000"/>
          <w:kern w:val="0"/>
          <w:sz w:val="32"/>
          <w:szCs w:val="32"/>
        </w:rPr>
        <w:t>”</w:t>
      </w:r>
      <w:r w:rsidRPr="00743DB4">
        <w:rPr>
          <w:rFonts w:ascii="仿宋_GB2312" w:eastAsia="仿宋_GB2312" w:hAnsi="Arial" w:cs="Arial" w:hint="eastAsia"/>
          <w:color w:val="000000"/>
          <w:kern w:val="0"/>
          <w:sz w:val="32"/>
          <w:szCs w:val="32"/>
        </w:rPr>
        <w:t>、</w:t>
      </w:r>
      <w:r w:rsidRPr="00743DB4">
        <w:rPr>
          <w:rFonts w:ascii="Arial" w:eastAsia="宋体" w:hAnsi="Arial" w:cs="Arial"/>
          <w:color w:val="000000"/>
          <w:kern w:val="0"/>
          <w:sz w:val="32"/>
          <w:szCs w:val="32"/>
        </w:rPr>
        <w:t>“</w:t>
      </w:r>
      <w:r w:rsidRPr="00743DB4">
        <w:rPr>
          <w:rFonts w:ascii="仿宋_GB2312" w:eastAsia="仿宋_GB2312" w:hAnsi="Arial" w:cs="Arial" w:hint="eastAsia"/>
          <w:color w:val="000000"/>
          <w:kern w:val="0"/>
          <w:sz w:val="32"/>
          <w:szCs w:val="32"/>
        </w:rPr>
        <w:t>课业成绩</w:t>
      </w:r>
      <w:r w:rsidRPr="00743DB4">
        <w:rPr>
          <w:rFonts w:ascii="Arial" w:eastAsia="宋体" w:hAnsi="Arial" w:cs="Arial"/>
          <w:color w:val="000000"/>
          <w:kern w:val="0"/>
          <w:sz w:val="32"/>
          <w:szCs w:val="32"/>
        </w:rPr>
        <w:t>”</w:t>
      </w:r>
      <w:r w:rsidRPr="00743DB4">
        <w:rPr>
          <w:rFonts w:ascii="仿宋_GB2312" w:eastAsia="仿宋_GB2312" w:hAnsi="Arial" w:cs="Arial" w:hint="eastAsia"/>
          <w:color w:val="000000"/>
          <w:kern w:val="0"/>
          <w:sz w:val="32"/>
          <w:szCs w:val="32"/>
        </w:rPr>
        <w:t>、</w:t>
      </w:r>
      <w:r w:rsidRPr="00743DB4">
        <w:rPr>
          <w:rFonts w:ascii="Arial" w:eastAsia="宋体" w:hAnsi="Arial" w:cs="Arial"/>
          <w:color w:val="000000"/>
          <w:kern w:val="0"/>
          <w:sz w:val="32"/>
          <w:szCs w:val="32"/>
        </w:rPr>
        <w:t>“</w:t>
      </w:r>
      <w:r w:rsidRPr="00743DB4">
        <w:rPr>
          <w:rFonts w:ascii="仿宋_GB2312" w:eastAsia="仿宋_GB2312" w:hAnsi="Arial" w:cs="Arial" w:hint="eastAsia"/>
          <w:color w:val="000000"/>
          <w:kern w:val="0"/>
          <w:sz w:val="32"/>
          <w:szCs w:val="32"/>
        </w:rPr>
        <w:t>学术科研</w:t>
      </w:r>
      <w:r w:rsidRPr="00743DB4">
        <w:rPr>
          <w:rFonts w:ascii="Arial" w:eastAsia="宋体" w:hAnsi="Arial" w:cs="Arial"/>
          <w:color w:val="000000"/>
          <w:kern w:val="0"/>
          <w:sz w:val="32"/>
          <w:szCs w:val="32"/>
        </w:rPr>
        <w:t>”</w:t>
      </w:r>
      <w:r w:rsidRPr="00743DB4">
        <w:rPr>
          <w:rFonts w:ascii="仿宋_GB2312" w:eastAsia="仿宋_GB2312" w:hAnsi="Arial" w:cs="Arial" w:hint="eastAsia"/>
          <w:color w:val="000000"/>
          <w:kern w:val="0"/>
          <w:sz w:val="32"/>
          <w:szCs w:val="32"/>
        </w:rPr>
        <w:t>、</w:t>
      </w:r>
      <w:r w:rsidRPr="00743DB4">
        <w:rPr>
          <w:rFonts w:ascii="Arial" w:eastAsia="宋体" w:hAnsi="Arial" w:cs="Arial"/>
          <w:color w:val="000000"/>
          <w:kern w:val="0"/>
          <w:sz w:val="32"/>
          <w:szCs w:val="32"/>
        </w:rPr>
        <w:t>“</w:t>
      </w:r>
      <w:r w:rsidRPr="00743DB4">
        <w:rPr>
          <w:rFonts w:ascii="仿宋_GB2312" w:eastAsia="仿宋_GB2312" w:hAnsi="Arial" w:cs="Arial" w:hint="eastAsia"/>
          <w:color w:val="000000"/>
          <w:kern w:val="0"/>
          <w:sz w:val="32"/>
          <w:szCs w:val="32"/>
        </w:rPr>
        <w:t>社会实践活动</w:t>
      </w:r>
      <w:r w:rsidRPr="00743DB4">
        <w:rPr>
          <w:rFonts w:ascii="Arial" w:eastAsia="宋体" w:hAnsi="Arial" w:cs="Arial"/>
          <w:color w:val="000000"/>
          <w:kern w:val="0"/>
          <w:sz w:val="32"/>
          <w:szCs w:val="32"/>
        </w:rPr>
        <w:t>”</w:t>
      </w:r>
      <w:r w:rsidRPr="00743DB4">
        <w:rPr>
          <w:rFonts w:ascii="仿宋_GB2312" w:eastAsia="仿宋_GB2312" w:hAnsi="Arial" w:cs="Arial" w:hint="eastAsia"/>
          <w:color w:val="000000"/>
          <w:kern w:val="0"/>
          <w:sz w:val="32"/>
          <w:szCs w:val="32"/>
        </w:rPr>
        <w:t>等为主要依据；当年度学业奖助学金获得者申报成果不得在下一年度申报学业奖助学金中再次使用。</w:t>
      </w:r>
    </w:p>
    <w:p w:rsidR="00743DB4" w:rsidRPr="00743DB4" w:rsidRDefault="00743DB4" w:rsidP="00743DB4">
      <w:pPr>
        <w:widowControl/>
        <w:shd w:val="clear" w:color="auto" w:fill="FFFFFF"/>
        <w:spacing w:before="156" w:after="156" w:line="315" w:lineRule="atLeast"/>
        <w:ind w:firstLine="360"/>
        <w:jc w:val="center"/>
        <w:rPr>
          <w:rFonts w:ascii="Arial" w:eastAsia="宋体" w:hAnsi="Arial" w:cs="Arial"/>
          <w:color w:val="000000"/>
          <w:kern w:val="0"/>
          <w:szCs w:val="21"/>
        </w:rPr>
      </w:pPr>
      <w:r w:rsidRPr="00743DB4">
        <w:rPr>
          <w:rFonts w:ascii="黑体" w:eastAsia="黑体" w:hAnsi="黑体" w:cs="Arial" w:hint="eastAsia"/>
          <w:color w:val="000000"/>
          <w:kern w:val="0"/>
          <w:sz w:val="32"/>
          <w:szCs w:val="32"/>
        </w:rPr>
        <w:t>第四章</w:t>
      </w:r>
      <w:r w:rsidRPr="00743DB4">
        <w:rPr>
          <w:rFonts w:ascii="宋体" w:eastAsia="宋体" w:hAnsi="宋体" w:cs="宋体" w:hint="eastAsia"/>
          <w:color w:val="000000"/>
          <w:kern w:val="0"/>
          <w:sz w:val="32"/>
          <w:szCs w:val="32"/>
        </w:rPr>
        <w:t> </w:t>
      </w:r>
      <w:r w:rsidRPr="00743DB4">
        <w:rPr>
          <w:rFonts w:ascii="宋体" w:eastAsia="宋体" w:hAnsi="宋体" w:cs="宋体" w:hint="eastAsia"/>
          <w:color w:val="000000"/>
          <w:kern w:val="0"/>
          <w:sz w:val="32"/>
        </w:rPr>
        <w:t> </w:t>
      </w:r>
      <w:r w:rsidRPr="00743DB4">
        <w:rPr>
          <w:rFonts w:ascii="黑体" w:eastAsia="黑体" w:hAnsi="黑体" w:cs="Arial" w:hint="eastAsia"/>
          <w:color w:val="000000"/>
          <w:kern w:val="0"/>
          <w:sz w:val="32"/>
          <w:szCs w:val="32"/>
        </w:rPr>
        <w:t>评审组织</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第十一条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学校成立研究生奖助学金评审领导小组，由校主管领导、相关职能部门负责人、院所负责人代表、导师代表等人员组成；负责制定各类奖助学金评审管理办法与名额分配方案，统筹领导、协调和监督各项评审工作，裁决有关申诉事项。领导小组下设办公室，挂靠在研究生院，负责奖助学金评定具体事宜。</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lastRenderedPageBreak/>
        <w:t>第十二条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院所成立研究生奖助学金评审委员会，由各院所主管或分管领导、研究生导师代表、行政管理人员、班主任代表与研究生代表等人员组成，名单须向全院所公布并报研究生院备案。院所研究生奖助学金评审委员会负责制定本院所各类奖助学金评定实施细则，组织申报和评审或评审推荐工作，处理本院所有关申述事宜等。</w:t>
      </w:r>
    </w:p>
    <w:p w:rsidR="00743DB4" w:rsidRPr="00743DB4" w:rsidRDefault="00743DB4" w:rsidP="00743DB4">
      <w:pPr>
        <w:widowControl/>
        <w:shd w:val="clear" w:color="auto" w:fill="FFFFFF"/>
        <w:spacing w:before="156" w:after="156" w:line="315" w:lineRule="atLeast"/>
        <w:ind w:firstLine="360"/>
        <w:jc w:val="center"/>
        <w:rPr>
          <w:rFonts w:ascii="Arial" w:eastAsia="宋体" w:hAnsi="Arial" w:cs="Arial"/>
          <w:color w:val="000000"/>
          <w:kern w:val="0"/>
          <w:szCs w:val="21"/>
        </w:rPr>
      </w:pPr>
      <w:r w:rsidRPr="00743DB4">
        <w:rPr>
          <w:rFonts w:ascii="黑体" w:eastAsia="黑体" w:hAnsi="黑体" w:cs="Arial" w:hint="eastAsia"/>
          <w:color w:val="000000"/>
          <w:kern w:val="0"/>
          <w:sz w:val="32"/>
          <w:szCs w:val="32"/>
        </w:rPr>
        <w:t>第五章</w:t>
      </w:r>
      <w:r w:rsidRPr="00743DB4">
        <w:rPr>
          <w:rFonts w:ascii="宋体" w:eastAsia="宋体" w:hAnsi="宋体" w:cs="宋体" w:hint="eastAsia"/>
          <w:color w:val="000000"/>
          <w:kern w:val="0"/>
          <w:sz w:val="32"/>
          <w:szCs w:val="32"/>
        </w:rPr>
        <w:t> </w:t>
      </w:r>
      <w:r w:rsidRPr="00743DB4">
        <w:rPr>
          <w:rFonts w:ascii="宋体" w:eastAsia="宋体" w:hAnsi="宋体" w:cs="宋体" w:hint="eastAsia"/>
          <w:color w:val="000000"/>
          <w:kern w:val="0"/>
          <w:sz w:val="32"/>
        </w:rPr>
        <w:t> </w:t>
      </w:r>
      <w:r w:rsidRPr="00743DB4">
        <w:rPr>
          <w:rFonts w:ascii="黑体" w:eastAsia="黑体" w:hAnsi="黑体" w:cs="Arial" w:hint="eastAsia"/>
          <w:color w:val="000000"/>
          <w:kern w:val="0"/>
          <w:sz w:val="32"/>
          <w:szCs w:val="32"/>
        </w:rPr>
        <w:t>评审程序</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第十三条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学校研究生奖助学金评审领导小组根据当年参评人员总数，结合学科分布，分配学业奖助学金评奖指标及等级。</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第十四条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符合学业奖助学金评定范围的研究生向所在院所研究生奖助学金评审委员会提交申请表和相关材料，院所研究生奖助学金评审委员会根据学校下达指标及研究生本人申请，依据本院所学业奖助学金评定实施细则组织学业奖助学金评定工作。评定实行票决制，且获奖助人员必须由到会委员半数以上投票通过，未达50%者需再次讨论票决。初评结果须在院所范围内以网络等形式公示3个工作日。</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第十五条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院所研究生奖助学金评审委员会初审结果公示无异议后，报研究生院。学校研究生奖助学金评审领导小组办公室汇总各院所初评结果，并报学校研究生奖助学金评审领导小组审核，审核结果在全校范围公示2个工作日。</w:t>
      </w:r>
    </w:p>
    <w:p w:rsidR="00743DB4" w:rsidRPr="00743DB4" w:rsidRDefault="00743DB4" w:rsidP="00743DB4">
      <w:pPr>
        <w:widowControl/>
        <w:shd w:val="clear" w:color="auto" w:fill="FFFFFF"/>
        <w:spacing w:line="315" w:lineRule="atLeast"/>
        <w:ind w:firstLine="634"/>
        <w:jc w:val="left"/>
        <w:rPr>
          <w:rFonts w:ascii="Arial" w:eastAsia="宋体" w:hAnsi="Arial" w:cs="Arial"/>
          <w:color w:val="000000"/>
          <w:kern w:val="0"/>
          <w:szCs w:val="21"/>
        </w:rPr>
      </w:pPr>
      <w:r w:rsidRPr="00743DB4">
        <w:rPr>
          <w:rFonts w:ascii="仿宋_GB2312" w:eastAsia="仿宋_GB2312" w:hAnsi="Arial" w:cs="Arial" w:hint="eastAsia"/>
          <w:b/>
          <w:bCs/>
          <w:color w:val="000000"/>
          <w:spacing w:val="-2"/>
          <w:kern w:val="0"/>
          <w:sz w:val="32"/>
          <w:szCs w:val="32"/>
        </w:rPr>
        <w:lastRenderedPageBreak/>
        <w:t>第十六条</w:t>
      </w:r>
      <w:r w:rsidRPr="00743DB4">
        <w:rPr>
          <w:rFonts w:ascii="仿宋_GB2312" w:eastAsia="仿宋_GB2312" w:hAnsi="Arial" w:cs="Arial" w:hint="eastAsia"/>
          <w:color w:val="000000"/>
          <w:spacing w:val="-2"/>
          <w:kern w:val="0"/>
          <w:sz w:val="32"/>
          <w:szCs w:val="32"/>
        </w:rPr>
        <w:t> </w:t>
      </w:r>
      <w:r w:rsidRPr="00743DB4">
        <w:rPr>
          <w:rFonts w:ascii="仿宋_GB2312" w:eastAsia="仿宋_GB2312" w:hAnsi="Arial" w:cs="Arial" w:hint="eastAsia"/>
          <w:color w:val="000000"/>
          <w:spacing w:val="-2"/>
          <w:kern w:val="0"/>
          <w:sz w:val="32"/>
        </w:rPr>
        <w:t> </w:t>
      </w:r>
      <w:r w:rsidRPr="00743DB4">
        <w:rPr>
          <w:rFonts w:ascii="仿宋_GB2312" w:eastAsia="仿宋_GB2312" w:hAnsi="Arial" w:cs="Arial" w:hint="eastAsia"/>
          <w:color w:val="000000"/>
          <w:spacing w:val="-2"/>
          <w:kern w:val="0"/>
          <w:sz w:val="32"/>
          <w:szCs w:val="32"/>
        </w:rPr>
        <w:t>对研究生学业奖助学金评审结果有异议的学生，可在公示阶段向所在院所研究生奖助学金评审委员会提出申诉，院所应及时研究并予以答复。如学生对院所做出的答复仍存在异议，可向研究生院提请申诉，由学校研究生奖助学金评审领导小组进行裁决。</w:t>
      </w:r>
    </w:p>
    <w:p w:rsidR="00743DB4" w:rsidRPr="00743DB4" w:rsidRDefault="00743DB4" w:rsidP="00743DB4">
      <w:pPr>
        <w:widowControl/>
        <w:shd w:val="clear" w:color="auto" w:fill="FFFFFF"/>
        <w:spacing w:after="156" w:line="315" w:lineRule="atLeast"/>
        <w:ind w:firstLine="360"/>
        <w:jc w:val="center"/>
        <w:rPr>
          <w:rFonts w:ascii="Arial" w:eastAsia="宋体" w:hAnsi="Arial" w:cs="Arial"/>
          <w:color w:val="000000"/>
          <w:kern w:val="0"/>
          <w:szCs w:val="21"/>
        </w:rPr>
      </w:pPr>
      <w:r w:rsidRPr="00743DB4">
        <w:rPr>
          <w:rFonts w:ascii="黑体" w:eastAsia="黑体" w:hAnsi="黑体" w:cs="Arial" w:hint="eastAsia"/>
          <w:color w:val="000000"/>
          <w:kern w:val="0"/>
          <w:sz w:val="32"/>
          <w:szCs w:val="32"/>
        </w:rPr>
        <w:t>第六章</w:t>
      </w:r>
      <w:r w:rsidRPr="00743DB4">
        <w:rPr>
          <w:rFonts w:ascii="宋体" w:eastAsia="宋体" w:hAnsi="宋体" w:cs="宋体" w:hint="eastAsia"/>
          <w:color w:val="000000"/>
          <w:kern w:val="0"/>
          <w:sz w:val="32"/>
          <w:szCs w:val="32"/>
        </w:rPr>
        <w:t> </w:t>
      </w:r>
      <w:r w:rsidRPr="00743DB4">
        <w:rPr>
          <w:rFonts w:ascii="宋体" w:eastAsia="宋体" w:hAnsi="宋体" w:cs="宋体" w:hint="eastAsia"/>
          <w:color w:val="000000"/>
          <w:kern w:val="0"/>
          <w:sz w:val="32"/>
        </w:rPr>
        <w:t> </w:t>
      </w:r>
      <w:r w:rsidRPr="00743DB4">
        <w:rPr>
          <w:rFonts w:ascii="黑体" w:eastAsia="黑体" w:hAnsi="黑体" w:cs="Arial" w:hint="eastAsia"/>
          <w:color w:val="000000"/>
          <w:kern w:val="0"/>
          <w:sz w:val="32"/>
          <w:szCs w:val="32"/>
        </w:rPr>
        <w:t>学业奖助学金的发放</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第十七条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研究生学业奖助学金按月发放给获奖助学生，并将研究生获得学业奖助学金（前三等）情况记入学生学籍档案。</w:t>
      </w:r>
    </w:p>
    <w:p w:rsidR="00743DB4" w:rsidRPr="00743DB4" w:rsidRDefault="00743DB4" w:rsidP="00743DB4">
      <w:pPr>
        <w:widowControl/>
        <w:shd w:val="clear" w:color="auto" w:fill="FFFFFF"/>
        <w:spacing w:line="315" w:lineRule="atLeast"/>
        <w:ind w:firstLine="64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第十八条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研究生若出现以下情况，学校可以暂停或终止向其发放学业奖助学金：</w:t>
      </w:r>
    </w:p>
    <w:p w:rsidR="00743DB4" w:rsidRPr="00743DB4" w:rsidRDefault="00743DB4" w:rsidP="00743DB4">
      <w:pPr>
        <w:widowControl/>
        <w:shd w:val="clear" w:color="auto" w:fill="FFFFFF"/>
        <w:spacing w:line="315" w:lineRule="atLeast"/>
        <w:ind w:firstLine="624"/>
        <w:jc w:val="left"/>
        <w:rPr>
          <w:rFonts w:ascii="Arial" w:eastAsia="宋体" w:hAnsi="Arial" w:cs="Arial"/>
          <w:color w:val="000000"/>
          <w:kern w:val="0"/>
          <w:szCs w:val="21"/>
        </w:rPr>
      </w:pPr>
      <w:r w:rsidRPr="00743DB4">
        <w:rPr>
          <w:rFonts w:ascii="仿宋_GB2312" w:eastAsia="仿宋_GB2312" w:hAnsi="Arial" w:cs="Arial" w:hint="eastAsia"/>
          <w:color w:val="000000"/>
          <w:spacing w:val="-4"/>
          <w:kern w:val="0"/>
          <w:sz w:val="32"/>
          <w:szCs w:val="32"/>
        </w:rPr>
        <w:t>1.未按时缴纳学费的学生，暂停发放，须其缴纳全部学费后恢复；</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2.严重违纪，受留校察看及以上处分的学生，终止发放；</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3.参评学年有抄袭剽窃、弄虚作假等学术不端行为经查证属实的，终止发放。</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4.在获评学业奖助学金半年内办理退学手续的学生，按月退还已发放的奖助学金。</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 </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 </w:t>
      </w:r>
    </w:p>
    <w:p w:rsidR="00743DB4" w:rsidRPr="00743DB4" w:rsidRDefault="00743DB4" w:rsidP="00743DB4">
      <w:pPr>
        <w:widowControl/>
        <w:shd w:val="clear" w:color="auto" w:fill="FFFFFF"/>
        <w:spacing w:before="156" w:after="156" w:line="315" w:lineRule="atLeast"/>
        <w:ind w:firstLine="360"/>
        <w:jc w:val="center"/>
        <w:rPr>
          <w:rFonts w:ascii="Arial" w:eastAsia="宋体" w:hAnsi="Arial" w:cs="Arial"/>
          <w:color w:val="000000"/>
          <w:kern w:val="0"/>
          <w:szCs w:val="21"/>
        </w:rPr>
      </w:pPr>
      <w:r w:rsidRPr="00743DB4">
        <w:rPr>
          <w:rFonts w:ascii="黑体" w:eastAsia="黑体" w:hAnsi="黑体" w:cs="Arial" w:hint="eastAsia"/>
          <w:color w:val="000000"/>
          <w:kern w:val="0"/>
          <w:sz w:val="32"/>
          <w:szCs w:val="32"/>
        </w:rPr>
        <w:t>第七章</w:t>
      </w:r>
      <w:r w:rsidRPr="00743DB4">
        <w:rPr>
          <w:rFonts w:ascii="宋体" w:eastAsia="宋体" w:hAnsi="宋体" w:cs="宋体" w:hint="eastAsia"/>
          <w:color w:val="000000"/>
          <w:kern w:val="0"/>
          <w:sz w:val="32"/>
          <w:szCs w:val="32"/>
        </w:rPr>
        <w:t> </w:t>
      </w:r>
      <w:r w:rsidRPr="00743DB4">
        <w:rPr>
          <w:rFonts w:ascii="宋体" w:eastAsia="宋体" w:hAnsi="宋体" w:cs="宋体" w:hint="eastAsia"/>
          <w:color w:val="000000"/>
          <w:kern w:val="0"/>
          <w:sz w:val="32"/>
        </w:rPr>
        <w:t> </w:t>
      </w:r>
      <w:r w:rsidRPr="00743DB4">
        <w:rPr>
          <w:rFonts w:ascii="黑体" w:eastAsia="黑体" w:hAnsi="黑体" w:cs="Arial" w:hint="eastAsia"/>
          <w:color w:val="000000"/>
          <w:kern w:val="0"/>
          <w:sz w:val="32"/>
          <w:szCs w:val="32"/>
        </w:rPr>
        <w:t>其</w:t>
      </w:r>
      <w:r w:rsidRPr="00743DB4">
        <w:rPr>
          <w:rFonts w:ascii="宋体" w:eastAsia="宋体" w:hAnsi="宋体" w:cs="宋体" w:hint="eastAsia"/>
          <w:color w:val="000000"/>
          <w:kern w:val="0"/>
          <w:sz w:val="32"/>
          <w:szCs w:val="32"/>
        </w:rPr>
        <w:t> </w:t>
      </w:r>
      <w:r w:rsidRPr="00743DB4">
        <w:rPr>
          <w:rFonts w:ascii="宋体" w:eastAsia="宋体" w:hAnsi="宋体" w:cs="宋体" w:hint="eastAsia"/>
          <w:color w:val="000000"/>
          <w:kern w:val="0"/>
          <w:sz w:val="32"/>
        </w:rPr>
        <w:t> </w:t>
      </w:r>
      <w:r w:rsidRPr="00743DB4">
        <w:rPr>
          <w:rFonts w:ascii="黑体" w:eastAsia="黑体" w:hAnsi="黑体" w:cs="Arial" w:hint="eastAsia"/>
          <w:color w:val="000000"/>
          <w:kern w:val="0"/>
          <w:sz w:val="32"/>
          <w:szCs w:val="32"/>
        </w:rPr>
        <w:t>他</w:t>
      </w:r>
    </w:p>
    <w:p w:rsidR="00743DB4" w:rsidRPr="00743DB4" w:rsidRDefault="00743DB4" w:rsidP="00743DB4">
      <w:pPr>
        <w:widowControl/>
        <w:shd w:val="clear" w:color="auto" w:fill="FFFFFF"/>
        <w:spacing w:line="315" w:lineRule="atLeast"/>
        <w:ind w:firstLine="80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lastRenderedPageBreak/>
        <w:t>第十九条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各院所根据本办法及本院所学科特点制定学业奖助学金评定实施细则，报学校研究生奖助学金评审领导小组批准后执行。</w:t>
      </w:r>
    </w:p>
    <w:p w:rsidR="00743DB4" w:rsidRPr="00743DB4" w:rsidRDefault="00743DB4" w:rsidP="00743DB4">
      <w:pPr>
        <w:widowControl/>
        <w:shd w:val="clear" w:color="auto" w:fill="FFFFFF"/>
        <w:spacing w:line="315" w:lineRule="atLeast"/>
        <w:ind w:firstLine="787"/>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第二十条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本办法自2014年开始实施。</w:t>
      </w:r>
    </w:p>
    <w:p w:rsidR="00743DB4" w:rsidRPr="00743DB4" w:rsidRDefault="00743DB4" w:rsidP="00743DB4">
      <w:pPr>
        <w:widowControl/>
        <w:shd w:val="clear" w:color="auto" w:fill="FFFFFF"/>
        <w:spacing w:line="315" w:lineRule="atLeast"/>
        <w:ind w:firstLine="803"/>
        <w:jc w:val="left"/>
        <w:rPr>
          <w:rFonts w:ascii="Arial" w:eastAsia="宋体" w:hAnsi="Arial" w:cs="Arial"/>
          <w:color w:val="000000"/>
          <w:kern w:val="0"/>
          <w:szCs w:val="21"/>
        </w:rPr>
      </w:pPr>
      <w:r w:rsidRPr="00743DB4">
        <w:rPr>
          <w:rFonts w:ascii="仿宋_GB2312" w:eastAsia="仿宋_GB2312" w:hAnsi="Arial" w:cs="Arial" w:hint="eastAsia"/>
          <w:b/>
          <w:bCs/>
          <w:color w:val="000000"/>
          <w:kern w:val="0"/>
          <w:sz w:val="32"/>
          <w:szCs w:val="32"/>
        </w:rPr>
        <w:t>第二十一条</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本办法由研究生院负责解释。</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 </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 </w:t>
      </w:r>
    </w:p>
    <w:p w:rsidR="00743DB4" w:rsidRPr="00743DB4" w:rsidRDefault="00743DB4" w:rsidP="00743DB4">
      <w:pPr>
        <w:widowControl/>
        <w:shd w:val="clear" w:color="auto" w:fill="FFFFFF"/>
        <w:spacing w:line="315" w:lineRule="atLeast"/>
        <w:ind w:firstLine="512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szCs w:val="32"/>
        </w:rPr>
        <w:t>四川农业大学</w:t>
      </w:r>
    </w:p>
    <w:p w:rsidR="00743DB4" w:rsidRPr="00743DB4" w:rsidRDefault="00743DB4" w:rsidP="00743DB4">
      <w:pPr>
        <w:widowControl/>
        <w:shd w:val="clear" w:color="auto" w:fill="FFFFFF"/>
        <w:spacing w:line="315" w:lineRule="atLeast"/>
        <w:ind w:firstLine="640"/>
        <w:jc w:val="left"/>
        <w:rPr>
          <w:rFonts w:ascii="Arial" w:eastAsia="宋体" w:hAnsi="Arial" w:cs="Arial"/>
          <w:color w:val="000000"/>
          <w:kern w:val="0"/>
          <w:szCs w:val="21"/>
        </w:rPr>
      </w:pPr>
      <w:r w:rsidRPr="00743DB4">
        <w:rPr>
          <w:rFonts w:ascii="仿宋_GB2312" w:eastAsia="仿宋_GB2312" w:hAnsi="Arial" w:cs="Arial" w:hint="eastAsia"/>
          <w:color w:val="000000"/>
          <w:kern w:val="0"/>
          <w:sz w:val="32"/>
          <w:szCs w:val="32"/>
        </w:rPr>
        <w:t>                        </w:t>
      </w:r>
      <w:r w:rsidRPr="00743DB4">
        <w:rPr>
          <w:rFonts w:ascii="仿宋_GB2312" w:eastAsia="仿宋_GB2312" w:hAnsi="Arial" w:cs="Arial" w:hint="eastAsia"/>
          <w:color w:val="000000"/>
          <w:kern w:val="0"/>
          <w:sz w:val="32"/>
        </w:rPr>
        <w:t> </w:t>
      </w:r>
      <w:r w:rsidRPr="00743DB4">
        <w:rPr>
          <w:rFonts w:ascii="仿宋_GB2312" w:eastAsia="仿宋_GB2312" w:hAnsi="Arial" w:cs="Arial" w:hint="eastAsia"/>
          <w:color w:val="000000"/>
          <w:kern w:val="0"/>
          <w:sz w:val="32"/>
          <w:szCs w:val="32"/>
        </w:rPr>
        <w:t>2014年10月15日</w:t>
      </w:r>
    </w:p>
    <w:p w:rsidR="001D2617" w:rsidRDefault="001D2617"/>
    <w:sectPr w:rsidR="001D26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617" w:rsidRDefault="001D2617" w:rsidP="00743DB4">
      <w:r>
        <w:separator/>
      </w:r>
    </w:p>
  </w:endnote>
  <w:endnote w:type="continuationSeparator" w:id="1">
    <w:p w:rsidR="001D2617" w:rsidRDefault="001D2617" w:rsidP="00743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617" w:rsidRDefault="001D2617" w:rsidP="00743DB4">
      <w:r>
        <w:separator/>
      </w:r>
    </w:p>
  </w:footnote>
  <w:footnote w:type="continuationSeparator" w:id="1">
    <w:p w:rsidR="001D2617" w:rsidRDefault="001D2617" w:rsidP="00743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3DB4"/>
    <w:rsid w:val="001D2617"/>
    <w:rsid w:val="00743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3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3DB4"/>
    <w:rPr>
      <w:sz w:val="18"/>
      <w:szCs w:val="18"/>
    </w:rPr>
  </w:style>
  <w:style w:type="paragraph" w:styleId="a4">
    <w:name w:val="footer"/>
    <w:basedOn w:val="a"/>
    <w:link w:val="Char0"/>
    <w:uiPriority w:val="99"/>
    <w:semiHidden/>
    <w:unhideWhenUsed/>
    <w:rsid w:val="00743D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3DB4"/>
    <w:rPr>
      <w:sz w:val="18"/>
      <w:szCs w:val="18"/>
    </w:rPr>
  </w:style>
  <w:style w:type="character" w:customStyle="1" w:styleId="apple-converted-space">
    <w:name w:val="apple-converted-space"/>
    <w:basedOn w:val="a0"/>
    <w:rsid w:val="00743DB4"/>
  </w:style>
  <w:style w:type="character" w:styleId="a5">
    <w:name w:val="Hyperlink"/>
    <w:basedOn w:val="a0"/>
    <w:uiPriority w:val="99"/>
    <w:semiHidden/>
    <w:unhideWhenUsed/>
    <w:rsid w:val="00743DB4"/>
    <w:rPr>
      <w:color w:val="0000FF"/>
      <w:u w:val="single"/>
    </w:rPr>
  </w:style>
  <w:style w:type="paragraph" w:styleId="a6">
    <w:name w:val="List Paragraph"/>
    <w:basedOn w:val="a"/>
    <w:uiPriority w:val="34"/>
    <w:qFormat/>
    <w:rsid w:val="00743D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24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B9%FA%BC%D2%D6%FA%D1%A7%BD%F0&amp;ie=gbk&amp;tn=SE_hldp00990_u6vqbx10" TargetMode="External"/><Relationship Id="rId3" Type="http://schemas.openxmlformats.org/officeDocument/2006/relationships/webSettings" Target="webSettings.xml"/><Relationship Id="rId7" Type="http://schemas.openxmlformats.org/officeDocument/2006/relationships/hyperlink" Target="http://www.baidu.com/s?wd=%B9%FA%BC%D2%BD%B1%D1%A7%BD%F0&amp;ie=gbk&amp;tn=SE_hldp00990_u6vqbx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s?wd=%D1%D0%BE%BF%C9%FA%D1%A7%D2%B5%BD%B1%D1%A7%BD%F0&amp;ie=gbk&amp;tn=SE_hldp00990_u6vqbx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aidu.com/s?wd=%D1%D0%BE%BF%C9%FA%D1%A7%D2%B5%BD%B1%D1%A7%BD%F0&amp;ie=gbk&amp;tn=SE_hldp00990_u6vqbx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2899</Characters>
  <Application>Microsoft Office Word</Application>
  <DocSecurity>0</DocSecurity>
  <Lines>24</Lines>
  <Paragraphs>6</Paragraphs>
  <ScaleCrop>false</ScaleCrop>
  <Company>Microsoft</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2016-12-14T02:05:00Z</dcterms:created>
  <dcterms:modified xsi:type="dcterms:W3CDTF">2016-12-14T02:05:00Z</dcterms:modified>
</cp:coreProperties>
</file>